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E" w:rsidRPr="00021C4E" w:rsidRDefault="00021C4E" w:rsidP="00021C4E">
      <w:pPr>
        <w:bidi w:val="0"/>
        <w:spacing w:before="100" w:beforeAutospacing="1"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val="en"/>
        </w:rPr>
      </w:pPr>
      <w:r w:rsidRPr="00021C4E">
        <w:rPr>
          <w:rFonts w:ascii="Arial" w:eastAsia="Times New Roman" w:hAnsi="Arial" w:cs="Arial"/>
          <w:b/>
          <w:bCs/>
          <w:color w:val="68B04D"/>
          <w:sz w:val="48"/>
          <w:szCs w:val="48"/>
          <w:lang w:val="en"/>
        </w:rPr>
        <w:t>Green Life Group</w:t>
      </w:r>
    </w:p>
    <w:p w:rsidR="00021C4E" w:rsidRPr="00021C4E" w:rsidRDefault="00021C4E" w:rsidP="00021C4E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021C4E">
        <w:rPr>
          <w:rFonts w:ascii="Helvetica-W01-Bold" w:eastAsia="Times New Roman" w:hAnsi="Helvetica-W01-Bold" w:cs="Arial"/>
          <w:b/>
          <w:bCs/>
          <w:color w:val="000000"/>
          <w:sz w:val="28"/>
          <w:szCs w:val="28"/>
          <w:lang w:val="en"/>
        </w:rPr>
        <w:t>TECHNICAL DATA SHEET </w:t>
      </w:r>
    </w:p>
    <w:p w:rsidR="00021C4E" w:rsidRPr="00021C4E" w:rsidRDefault="00021C4E" w:rsidP="00021C4E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lang w:val="en"/>
        </w:rPr>
      </w:pP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 xml:space="preserve"> Fruits and Vegetables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336600"/>
          <w:sz w:val="30"/>
          <w:szCs w:val="30"/>
          <w:lang w:val="en"/>
        </w:rPr>
      </w:pPr>
      <w:r w:rsidRPr="00021C4E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General Description</w:t>
      </w:r>
    </w:p>
    <w:p w:rsid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Fruits and vegetables form an important part of mankind’s food cycle. The biggest enemy of fruit and vegetable is decay.</w:t>
      </w:r>
      <w:r w:rsidRPr="00021C4E">
        <w:rPr>
          <w:rFonts w:ascii="Arial" w:eastAsia="Times New Roman" w:hAnsi="Arial" w:cs="Arial"/>
          <w:color w:val="000000"/>
          <w:lang w:val="en"/>
        </w:rPr>
        <w:br/>
        <w:t>Decay is the process in which biological material is decomposed by microorganisms such as bacteria and microscopic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021C4E">
        <w:rPr>
          <w:rFonts w:ascii="Arial" w:eastAsia="Times New Roman" w:hAnsi="Arial" w:cs="Arial"/>
          <w:color w:val="000000"/>
          <w:lang w:val="en"/>
        </w:rPr>
        <w:t xml:space="preserve">fungi. 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“Green Up Fruits and Vegetables F&amp;V” is superior in its ability to dissolve and remove oils in a variety of fatty acids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021C4E">
        <w:rPr>
          <w:rFonts w:ascii="Arial" w:eastAsia="Times New Roman" w:hAnsi="Arial" w:cs="Arial"/>
          <w:color w:val="000000"/>
          <w:lang w:val="en"/>
        </w:rPr>
        <w:t xml:space="preserve">and  effectively  achieve anti-bacterial cleaning of a wide range of micro-organisms including Gram positive/negative 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bacteria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,  pathogenic f </w:t>
      </w:r>
      <w:proofErr w:type="spellStart"/>
      <w:r w:rsidRPr="00021C4E">
        <w:rPr>
          <w:rFonts w:ascii="Arial" w:eastAsia="Times New Roman" w:hAnsi="Arial" w:cs="Arial"/>
          <w:color w:val="000000"/>
          <w:lang w:val="en"/>
        </w:rPr>
        <w:t>ood</w:t>
      </w:r>
      <w:proofErr w:type="spellEnd"/>
      <w:r w:rsidRPr="00021C4E">
        <w:rPr>
          <w:rFonts w:ascii="Arial" w:eastAsia="Times New Roman" w:hAnsi="Arial" w:cs="Arial"/>
          <w:color w:val="000000"/>
          <w:lang w:val="en"/>
        </w:rPr>
        <w:t xml:space="preserve"> related </w:t>
      </w:r>
      <w:proofErr w:type="spellStart"/>
      <w:r w:rsidRPr="00021C4E">
        <w:rPr>
          <w:rFonts w:ascii="Arial" w:eastAsia="Times New Roman" w:hAnsi="Arial" w:cs="Arial"/>
          <w:color w:val="000000"/>
          <w:lang w:val="en"/>
        </w:rPr>
        <w:t>bacteria,yeasts</w:t>
      </w:r>
      <w:proofErr w:type="spellEnd"/>
      <w:r w:rsidRPr="00021C4E">
        <w:rPr>
          <w:rFonts w:ascii="Arial" w:eastAsia="Times New Roman" w:hAnsi="Arial" w:cs="Arial"/>
          <w:color w:val="000000"/>
          <w:lang w:val="en"/>
        </w:rPr>
        <w:t>  and microscopic fungi.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After treatment by “Green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Fruits and Vegetables” the shelf life of fruits and vegetables is lengthened.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F&amp;V is not flammable, does not emit poisonous gases or synthetic smells which are typical of chemical cleaning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021C4E">
        <w:rPr>
          <w:rFonts w:ascii="Arial" w:eastAsia="Times New Roman" w:hAnsi="Arial" w:cs="Arial"/>
          <w:color w:val="000000"/>
          <w:lang w:val="en"/>
        </w:rPr>
        <w:t>agents.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F&amp;V destroys a wide range of bacteria, microorganisms, fungi and </w:t>
      </w:r>
      <w:proofErr w:type="spellStart"/>
      <w:r w:rsidRPr="00021C4E">
        <w:rPr>
          <w:rFonts w:ascii="Arial" w:eastAsia="Times New Roman" w:hAnsi="Arial" w:cs="Arial"/>
          <w:color w:val="000000"/>
          <w:lang w:val="en"/>
        </w:rPr>
        <w:t>mould.while</w:t>
      </w:r>
      <w:proofErr w:type="spellEnd"/>
      <w:r w:rsidRPr="00021C4E">
        <w:rPr>
          <w:rFonts w:ascii="Arial" w:eastAsia="Times New Roman" w:hAnsi="Arial" w:cs="Arial"/>
          <w:color w:val="000000"/>
          <w:lang w:val="en"/>
        </w:rPr>
        <w:t xml:space="preserve"> leaving a refreshing scent.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F&amp;V is especially suitable for cleaning and disinfecting fruits and vegetables.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F&amp;V is very mild, non- toxic and readily biodegradable      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336600"/>
          <w:sz w:val="21"/>
          <w:szCs w:val="21"/>
          <w:lang w:val="en"/>
        </w:rPr>
      </w:pPr>
      <w:r w:rsidRPr="00021C4E">
        <w:rPr>
          <w:rFonts w:ascii="Arial" w:eastAsia="Times New Roman" w:hAnsi="Arial" w:cs="Arial"/>
          <w:color w:val="336600"/>
          <w:sz w:val="21"/>
          <w:szCs w:val="21"/>
          <w:lang w:val="en"/>
        </w:rPr>
        <w:t> </w:t>
      </w:r>
      <w:r w:rsidRPr="00021C4E">
        <w:rPr>
          <w:rFonts w:ascii="Arial" w:eastAsia="Times New Roman" w:hAnsi="Arial" w:cs="Arial"/>
          <w:b/>
          <w:bCs/>
          <w:color w:val="336600"/>
          <w:sz w:val="27"/>
          <w:szCs w:val="27"/>
          <w:u w:val="single"/>
          <w:lang w:val="en"/>
        </w:rPr>
        <w:t xml:space="preserve">ADVENTAGE OF Green </w:t>
      </w:r>
      <w:proofErr w:type="gramStart"/>
      <w:r w:rsidRPr="00021C4E">
        <w:rPr>
          <w:rFonts w:ascii="Arial" w:eastAsia="Times New Roman" w:hAnsi="Arial" w:cs="Arial"/>
          <w:b/>
          <w:bCs/>
          <w:color w:val="336600"/>
          <w:sz w:val="27"/>
          <w:szCs w:val="27"/>
          <w:u w:val="single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b/>
          <w:bCs/>
          <w:color w:val="336600"/>
          <w:sz w:val="27"/>
          <w:szCs w:val="27"/>
          <w:u w:val="single"/>
          <w:lang w:val="en"/>
        </w:rPr>
        <w:t xml:space="preserve"> F&amp;V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The product is not poisonous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The product does not endanger the respiratory tracts of the user and does not leave any trace of the product on the hands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after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use. The product is not flammable. It is based on natural “green” components.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It does not require special precautions by the user.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The product decomposes naturally and is biodegradable.</w:t>
      </w:r>
    </w:p>
    <w:p w:rsidR="00021C4E" w:rsidRPr="00021C4E" w:rsidRDefault="00021C4E" w:rsidP="00021C4E">
      <w:pPr>
        <w:bidi w:val="0"/>
        <w:spacing w:after="26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It is not corrosive and does not causes damage to equipment.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21C4E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021C4E">
        <w:rPr>
          <w:rFonts w:ascii="Arial" w:eastAsia="Times New Roman" w:hAnsi="Arial" w:cs="Arial"/>
          <w:b/>
          <w:bCs/>
          <w:color w:val="336600"/>
          <w:sz w:val="29"/>
          <w:szCs w:val="29"/>
          <w:u w:val="single"/>
          <w:lang w:val="en"/>
        </w:rPr>
        <w:t>Directives and instructions 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021C4E">
        <w:rPr>
          <w:rFonts w:ascii="Arial" w:eastAsia="Times New Roman" w:hAnsi="Arial" w:cs="Arial"/>
          <w:color w:val="000000"/>
          <w:sz w:val="26"/>
          <w:szCs w:val="26"/>
          <w:lang w:val="en"/>
        </w:rPr>
        <w:t>“</w:t>
      </w:r>
      <w:r w:rsidRPr="00021C4E">
        <w:rPr>
          <w:rFonts w:ascii="Arial" w:eastAsia="Times New Roman" w:hAnsi="Arial" w:cs="Arial"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Fruits and Vegetables” is ready for use.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There is no need to add and/or mix it with any other product.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There is no need to heat it or work on hot surfaces.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For 1 </w:t>
      </w:r>
      <w:proofErr w:type="spellStart"/>
      <w:r w:rsidRPr="00021C4E">
        <w:rPr>
          <w:rFonts w:ascii="Arial" w:eastAsia="Times New Roman" w:hAnsi="Arial" w:cs="Arial"/>
          <w:color w:val="000000"/>
          <w:lang w:val="en"/>
        </w:rPr>
        <w:t>litre</w:t>
      </w:r>
      <w:proofErr w:type="spellEnd"/>
      <w:r w:rsidRPr="00021C4E">
        <w:rPr>
          <w:rFonts w:ascii="Arial" w:eastAsia="Times New Roman" w:hAnsi="Arial" w:cs="Arial"/>
          <w:color w:val="000000"/>
          <w:lang w:val="en"/>
        </w:rPr>
        <w:t xml:space="preserve"> of water add 50 grams “Green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Fruits and Vegetables” and wash the fruit or the vegetables in it for a few minutes.</w:t>
      </w:r>
    </w:p>
    <w:p w:rsid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Rinse in clean water. The fruit and vegetables are ready for use or to be stored.</w:t>
      </w:r>
    </w:p>
    <w:p w:rsid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</w:p>
    <w:p w:rsid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</w:p>
    <w:p w:rsid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</w:p>
    <w:p w:rsidR="00021C4E" w:rsidRPr="00021C4E" w:rsidRDefault="00021C4E" w:rsidP="00021C4E">
      <w:pPr>
        <w:bidi w:val="0"/>
        <w:spacing w:before="100" w:beforeAutospacing="1"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val="en"/>
        </w:rPr>
      </w:pPr>
      <w:r w:rsidRPr="00021C4E">
        <w:rPr>
          <w:rFonts w:ascii="Arial" w:eastAsia="Times New Roman" w:hAnsi="Arial" w:cs="Arial"/>
          <w:b/>
          <w:bCs/>
          <w:color w:val="68B04D"/>
          <w:sz w:val="48"/>
          <w:szCs w:val="48"/>
          <w:lang w:val="en"/>
        </w:rPr>
        <w:lastRenderedPageBreak/>
        <w:t>Green Life Group</w:t>
      </w:r>
    </w:p>
    <w:p w:rsidR="00021C4E" w:rsidRPr="00021C4E" w:rsidRDefault="00021C4E" w:rsidP="00021C4E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021C4E">
        <w:rPr>
          <w:rFonts w:ascii="Helvetica-W01-Bold" w:eastAsia="Times New Roman" w:hAnsi="Helvetica-W01-Bold" w:cs="Arial"/>
          <w:b/>
          <w:bCs/>
          <w:color w:val="000000"/>
          <w:sz w:val="28"/>
          <w:szCs w:val="28"/>
          <w:lang w:val="en"/>
        </w:rPr>
        <w:t>TECHNICAL DATA SHEET </w:t>
      </w:r>
    </w:p>
    <w:p w:rsidR="00021C4E" w:rsidRPr="00021C4E" w:rsidRDefault="00021C4E" w:rsidP="00021C4E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lang w:val="en"/>
        </w:rPr>
      </w:pP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 xml:space="preserve">Green </w:t>
      </w:r>
      <w:proofErr w:type="gramStart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Up</w:t>
      </w:r>
      <w:proofErr w:type="gramEnd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 xml:space="preserve"> Fruits and Vegetables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br/>
      </w:r>
      <w:r w:rsidRPr="00021C4E">
        <w:rPr>
          <w:rFonts w:ascii="Arial" w:eastAsia="Times New Roman" w:hAnsi="Arial" w:cs="Arial"/>
          <w:b/>
          <w:bCs/>
          <w:color w:val="336600"/>
          <w:sz w:val="29"/>
          <w:szCs w:val="29"/>
          <w:u w:val="single"/>
          <w:lang w:val="en"/>
        </w:rPr>
        <w:t>Precaution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sz w:val="26"/>
          <w:szCs w:val="26"/>
          <w:lang w:val="en"/>
        </w:rPr>
        <w:t> 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 xml:space="preserve">For external use </w:t>
      </w:r>
      <w:proofErr w:type="spellStart"/>
      <w:r w:rsidRPr="00021C4E">
        <w:rPr>
          <w:rFonts w:ascii="Arial" w:eastAsia="Times New Roman" w:hAnsi="Arial" w:cs="Arial"/>
          <w:color w:val="000000"/>
          <w:lang w:val="en"/>
        </w:rPr>
        <w:t>only.Not</w:t>
      </w:r>
      <w:proofErr w:type="spellEnd"/>
      <w:r w:rsidRPr="00021C4E">
        <w:rPr>
          <w:rFonts w:ascii="Arial" w:eastAsia="Times New Roman" w:hAnsi="Arial" w:cs="Arial"/>
          <w:color w:val="000000"/>
          <w:lang w:val="en"/>
        </w:rPr>
        <w:t xml:space="preserve"> to be eaten or swallowed.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Avoid contact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with  eyes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>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In the event of contact with the eyes rinse properly in clean water.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In the event of swallowing concentrated Green Up F&amp;V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,  drink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a large amount of water or milk and seek medical attention.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Avoid contact by children.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Store the closed bottle in a shaded place.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Avoid exposure of the material to extreme temperatures.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336600"/>
          <w:sz w:val="29"/>
          <w:szCs w:val="29"/>
          <w:lang w:val="en"/>
        </w:rPr>
      </w:pPr>
      <w:r w:rsidRPr="00021C4E">
        <w:rPr>
          <w:rFonts w:ascii="Arial" w:eastAsia="Times New Roman" w:hAnsi="Arial" w:cs="Arial"/>
          <w:b/>
          <w:bCs/>
          <w:color w:val="336600"/>
          <w:sz w:val="29"/>
          <w:szCs w:val="29"/>
          <w:u w:val="single"/>
          <w:lang w:val="en"/>
        </w:rPr>
        <w:t>Components 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“Green Up Fruits and Vegetables” is water-based and contains a mixture of natural materials that are produced from plants and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  silicates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>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 xml:space="preserve">“Green Up Fruits and Vegetables” is made from renewable raw materials –glucose derived from corn, and fatty alcohols from </w:t>
      </w:r>
      <w:proofErr w:type="gramStart"/>
      <w:r w:rsidRPr="00021C4E">
        <w:rPr>
          <w:rFonts w:ascii="Arial" w:eastAsia="Times New Roman" w:hAnsi="Arial" w:cs="Arial"/>
          <w:color w:val="000000"/>
          <w:lang w:val="en"/>
        </w:rPr>
        <w:t>coconut  and</w:t>
      </w:r>
      <w:proofErr w:type="gramEnd"/>
      <w:r w:rsidRPr="00021C4E">
        <w:rPr>
          <w:rFonts w:ascii="Arial" w:eastAsia="Times New Roman" w:hAnsi="Arial" w:cs="Arial"/>
          <w:color w:val="000000"/>
          <w:lang w:val="en"/>
        </w:rPr>
        <w:t xml:space="preserve"> palm kernel oils. None of the components are animal based.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021C4E">
        <w:rPr>
          <w:rFonts w:ascii="Arial" w:eastAsia="Times New Roman" w:hAnsi="Arial" w:cs="Arial"/>
          <w:color w:val="000000"/>
          <w:lang w:val="en"/>
        </w:rPr>
        <w:t> All the components decompose in nature and fit the definition of biodegradable.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</w:p>
    <w:p w:rsidR="00021C4E" w:rsidRPr="00021C4E" w:rsidRDefault="00021C4E" w:rsidP="00351A14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336600"/>
          <w:sz w:val="28"/>
          <w:szCs w:val="28"/>
          <w:lang w:val="en"/>
        </w:rPr>
      </w:pPr>
      <w:proofErr w:type="gramStart"/>
      <w:r w:rsidRPr="00021C4E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>P</w:t>
      </w:r>
      <w:r w:rsidR="00351A14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 xml:space="preserve">hysical </w:t>
      </w:r>
      <w:r w:rsidRPr="00021C4E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 xml:space="preserve"> P</w:t>
      </w:r>
      <w:r w:rsidR="00351A14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>roperties</w:t>
      </w:r>
      <w:proofErr w:type="gramEnd"/>
      <w:r w:rsidR="00351A14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 xml:space="preserve"> </w:t>
      </w:r>
    </w:p>
    <w:p w:rsidR="00021C4E" w:rsidRPr="00021C4E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lang w:val="en"/>
        </w:rPr>
      </w:pP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Appearance:                                      -            CLEAR COLOURLESS OR RED LIQUID</w:t>
      </w:r>
      <w:r w:rsidRPr="00021C4E">
        <w:rPr>
          <w:rFonts w:ascii="Arial" w:eastAsia="Times New Roman" w:hAnsi="Arial" w:cs="Arial"/>
          <w:b/>
          <w:bCs/>
          <w:color w:val="000000"/>
          <w:lang w:val="en"/>
        </w:rPr>
        <w:br/>
        <w:t>pH @ 5% DILUTION                           -            10-11</w:t>
      </w:r>
      <w:r w:rsidRPr="00021C4E">
        <w:rPr>
          <w:rFonts w:ascii="Arial" w:eastAsia="Times New Roman" w:hAnsi="Arial" w:cs="Arial"/>
          <w:b/>
          <w:bCs/>
          <w:color w:val="000000"/>
          <w:lang w:val="en"/>
        </w:rPr>
        <w:br/>
        <w:t>Density                                               -             1.1</w:t>
      </w:r>
    </w:p>
    <w:p w:rsidR="00021C4E" w:rsidRPr="00021C4E" w:rsidRDefault="00021C4E" w:rsidP="00021C4E">
      <w:pPr>
        <w:bidi w:val="0"/>
        <w:spacing w:after="100" w:afterAutospacing="1" w:line="336" w:lineRule="atLeast"/>
        <w:outlineLvl w:val="2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Flash Point                                          -            None    </w:t>
      </w:r>
    </w:p>
    <w:p w:rsidR="00021C4E" w:rsidRPr="00021C4E" w:rsidRDefault="00021C4E" w:rsidP="005F0F7C">
      <w:pPr>
        <w:bidi w:val="0"/>
        <w:spacing w:before="100" w:beforeAutospacing="1" w:after="0" w:line="336" w:lineRule="atLeast"/>
        <w:outlineLvl w:val="2"/>
        <w:rPr>
          <w:rFonts w:ascii="Arial" w:eastAsia="Times New Roman" w:hAnsi="Arial" w:cs="Arial"/>
          <w:color w:val="336600"/>
          <w:sz w:val="28"/>
          <w:szCs w:val="28"/>
          <w:lang w:val="en"/>
        </w:rPr>
      </w:pPr>
      <w:r w:rsidRPr="00021C4E">
        <w:rPr>
          <w:rFonts w:ascii="Arial" w:eastAsia="Times New Roman" w:hAnsi="Arial" w:cs="Arial"/>
          <w:color w:val="000000"/>
          <w:sz w:val="30"/>
          <w:szCs w:val="30"/>
          <w:lang w:val="en"/>
        </w:rPr>
        <w:t> </w:t>
      </w:r>
      <w:r w:rsidR="00351A14" w:rsidRPr="00021C4E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>I</w:t>
      </w:r>
      <w:r w:rsidR="00351A14">
        <w:rPr>
          <w:rFonts w:ascii="Arial" w:eastAsia="Times New Roman" w:hAnsi="Arial" w:cs="Arial"/>
          <w:b/>
          <w:bCs/>
          <w:color w:val="336600"/>
          <w:sz w:val="28"/>
          <w:szCs w:val="28"/>
          <w:u w:val="single"/>
          <w:lang w:val="en"/>
        </w:rPr>
        <w:t xml:space="preserve">ngredients </w:t>
      </w:r>
    </w:p>
    <w:p w:rsidR="00021C4E" w:rsidRPr="00021C4E" w:rsidRDefault="00021C4E" w:rsidP="005F0F7C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021C4E">
        <w:rPr>
          <w:rFonts w:ascii="Arial" w:eastAsia="Times New Roman" w:hAnsi="Arial" w:cs="Arial"/>
          <w:color w:val="000000"/>
          <w:sz w:val="26"/>
          <w:szCs w:val="26"/>
          <w:lang w:val="en"/>
        </w:rPr>
        <w:t xml:space="preserve">This is a water-based product which contains a mixture of natural active components produced from plants and silicates. </w:t>
      </w:r>
    </w:p>
    <w:p w:rsidR="00021C4E" w:rsidRPr="00021C4E" w:rsidRDefault="00021C4E" w:rsidP="005F0F7C">
      <w:pPr>
        <w:bidi w:val="0"/>
        <w:spacing w:after="0" w:line="336" w:lineRule="atLeast"/>
        <w:rPr>
          <w:rFonts w:ascii="Arial" w:eastAsia="Times New Roman" w:hAnsi="Arial" w:cs="Arial"/>
          <w:color w:val="336600"/>
          <w:sz w:val="21"/>
          <w:szCs w:val="21"/>
          <w:lang w:val="en"/>
        </w:rPr>
      </w:pPr>
      <w:r w:rsidRPr="00021C4E">
        <w:rPr>
          <w:rFonts w:ascii="Arial" w:eastAsia="Times New Roman" w:hAnsi="Arial" w:cs="Arial"/>
          <w:color w:val="000000"/>
          <w:sz w:val="26"/>
          <w:szCs w:val="26"/>
          <w:lang w:val="en"/>
        </w:rPr>
        <w:t>None of the ingredients is produced from animals. All ingredients are fully biodegradable.</w:t>
      </w:r>
      <w:r w:rsidRPr="00021C4E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bookmarkStart w:id="0" w:name="_GoBack"/>
      <w:r w:rsidRPr="00021C4E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bookmarkEnd w:id="0"/>
      <w:proofErr w:type="gramStart"/>
      <w:r w:rsidRPr="00021C4E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H</w:t>
      </w:r>
      <w:r w:rsidR="00351A14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e</w:t>
      </w:r>
      <w:r w:rsidR="005F0F7C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a</w:t>
      </w:r>
      <w:r w:rsidR="00351A14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lth  And</w:t>
      </w:r>
      <w:proofErr w:type="gramEnd"/>
      <w:r w:rsidR="00351A14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 xml:space="preserve"> Safety </w:t>
      </w:r>
    </w:p>
    <w:p w:rsidR="00E635BA" w:rsidRDefault="00021C4E" w:rsidP="00021C4E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For full Health and Safety data please refer to our specific MSDS Sheet, which is available on Product list.   </w:t>
      </w:r>
    </w:p>
    <w:p w:rsidR="00021C4E" w:rsidRPr="00021C4E" w:rsidRDefault="00021C4E" w:rsidP="00E635BA">
      <w:pPr>
        <w:bidi w:val="0"/>
        <w:spacing w:after="0" w:line="336" w:lineRule="atLeast"/>
        <w:rPr>
          <w:rFonts w:ascii="Arial" w:eastAsia="Times New Roman" w:hAnsi="Arial" w:cs="Arial"/>
          <w:color w:val="000000"/>
          <w:lang w:val="en"/>
        </w:rPr>
      </w:pPr>
      <w:r w:rsidRPr="00021C4E">
        <w:rPr>
          <w:rFonts w:ascii="Arial" w:eastAsia="Times New Roman" w:hAnsi="Arial" w:cs="Arial"/>
          <w:color w:val="000000"/>
          <w:lang w:val="en"/>
        </w:rPr>
        <w:t>                                            </w:t>
      </w:r>
    </w:p>
    <w:p w:rsidR="00E635BA" w:rsidRDefault="00021C4E" w:rsidP="00351A14">
      <w:pPr>
        <w:bidi w:val="0"/>
        <w:spacing w:line="336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</w:pPr>
      <w:r w:rsidRPr="00021C4E">
        <w:rPr>
          <w:rFonts w:ascii="Arial" w:eastAsia="Times New Roman" w:hAnsi="Arial" w:cs="Arial"/>
          <w:color w:val="336600"/>
          <w:sz w:val="21"/>
          <w:szCs w:val="21"/>
          <w:lang w:val="en"/>
        </w:rPr>
        <w:t>  </w:t>
      </w:r>
      <w:proofErr w:type="gramStart"/>
      <w:r w:rsidR="00E635BA" w:rsidRPr="00E635BA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P</w:t>
      </w:r>
      <w:r w:rsidR="00351A14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 xml:space="preserve">ack  </w:t>
      </w:r>
      <w:r w:rsidRPr="00021C4E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S</w:t>
      </w:r>
      <w:r w:rsidR="00351A14">
        <w:rPr>
          <w:rFonts w:ascii="Arial" w:eastAsia="Times New Roman" w:hAnsi="Arial" w:cs="Arial"/>
          <w:b/>
          <w:bCs/>
          <w:color w:val="336600"/>
          <w:sz w:val="30"/>
          <w:szCs w:val="30"/>
          <w:u w:val="single"/>
          <w:lang w:val="en"/>
        </w:rPr>
        <w:t>izes</w:t>
      </w:r>
      <w:proofErr w:type="gramEnd"/>
      <w:r w:rsidRPr="00021C4E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br/>
        <w:t> </w:t>
      </w: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18lt , 205lt barrels, 1000 litter canister</w:t>
      </w:r>
      <w:r w:rsidRPr="00021C4E">
        <w:rPr>
          <w:rFonts w:ascii="Arial" w:eastAsia="Times New Roman" w:hAnsi="Arial" w:cs="Arial"/>
          <w:b/>
          <w:bCs/>
          <w:color w:val="000000"/>
          <w:sz w:val="30"/>
          <w:szCs w:val="30"/>
          <w:lang w:val="en"/>
        </w:rPr>
        <w:t> </w:t>
      </w:r>
    </w:p>
    <w:p w:rsidR="00274A84" w:rsidRDefault="00021C4E" w:rsidP="00E635BA">
      <w:pPr>
        <w:bidi w:val="0"/>
        <w:spacing w:line="336" w:lineRule="atLeast"/>
        <w:rPr>
          <w:rFonts w:hint="cs"/>
        </w:rPr>
      </w:pP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Shelf Life</w:t>
      </w:r>
      <w:proofErr w:type="gramStart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  3</w:t>
      </w:r>
      <w:proofErr w:type="gramEnd"/>
      <w:r w:rsidRPr="00021C4E">
        <w:rPr>
          <w:rFonts w:ascii="Arial" w:eastAsia="Times New Roman" w:hAnsi="Arial" w:cs="Arial"/>
          <w:b/>
          <w:bCs/>
          <w:color w:val="000000"/>
          <w:lang w:val="en"/>
        </w:rPr>
        <w:t xml:space="preserve"> Years from date of </w:t>
      </w:r>
      <w:r w:rsidR="00E635BA">
        <w:rPr>
          <w:rFonts w:ascii="Arial" w:eastAsia="Times New Roman" w:hAnsi="Arial" w:cs="Arial"/>
          <w:b/>
          <w:bCs/>
          <w:color w:val="000000"/>
          <w:lang w:val="en"/>
        </w:rPr>
        <w:t>m</w:t>
      </w:r>
      <w:r w:rsidRPr="00021C4E">
        <w:rPr>
          <w:rFonts w:ascii="Arial" w:eastAsia="Times New Roman" w:hAnsi="Arial" w:cs="Arial"/>
          <w:b/>
          <w:bCs/>
          <w:color w:val="000000"/>
          <w:lang w:val="en"/>
        </w:rPr>
        <w:t>anufacture</w:t>
      </w:r>
      <w:r w:rsidR="00E635BA">
        <w:rPr>
          <w:rFonts w:ascii="Arial" w:eastAsia="Times New Roman" w:hAnsi="Arial" w:cs="Arial"/>
          <w:b/>
          <w:bCs/>
          <w:color w:val="000000"/>
          <w:lang w:val="en"/>
        </w:rPr>
        <w:t>.</w:t>
      </w:r>
    </w:p>
    <w:sectPr w:rsidR="00274A84" w:rsidSect="00021C4E">
      <w:pgSz w:w="11906" w:h="16838"/>
      <w:pgMar w:top="993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1"/>
    <w:rsid w:val="00021C4E"/>
    <w:rsid w:val="00274A84"/>
    <w:rsid w:val="00351A14"/>
    <w:rsid w:val="005F0F7C"/>
    <w:rsid w:val="00743966"/>
    <w:rsid w:val="00BE5831"/>
    <w:rsid w:val="00E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021C4E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21C4E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021C4E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02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021C4E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21C4E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021C4E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02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2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2016-04-23T09:50:00Z</dcterms:created>
  <dcterms:modified xsi:type="dcterms:W3CDTF">2016-04-23T09:59:00Z</dcterms:modified>
</cp:coreProperties>
</file>